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" w:cs="Times New Roman"/>
          <w:sz w:val="30"/>
          <w:szCs w:val="30"/>
        </w:rPr>
      </w:pPr>
      <w:bookmarkStart w:id="0" w:name="_GoBack"/>
      <w:r>
        <w:rPr>
          <w:rFonts w:ascii="Times New Roman" w:hAnsi="Times New Roman" w:eastAsia="仿宋" w:cs="Times New Roman"/>
          <w:sz w:val="30"/>
          <w:szCs w:val="30"/>
        </w:rPr>
        <w:t>附件1</w:t>
      </w:r>
    </w:p>
    <w:bookmarkEnd w:id="0"/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首批重点商贸企业名单及营销活动方案（持续更新中）</w:t>
      </w:r>
    </w:p>
    <w:p>
      <w:pPr>
        <w:snapToGrid w:val="0"/>
        <w:spacing w:line="0" w:lineRule="atLeast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</w:p>
    <w:p>
      <w:pPr>
        <w:snapToGrid w:val="0"/>
        <w:spacing w:line="0" w:lineRule="atLeast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一、参与企业</w:t>
      </w:r>
    </w:p>
    <w:tbl>
      <w:tblPr>
        <w:tblStyle w:val="3"/>
        <w:tblW w:w="9105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7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企业类型</w:t>
            </w:r>
          </w:p>
        </w:tc>
        <w:tc>
          <w:tcPr>
            <w:tcW w:w="7258" w:type="dxa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restart"/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线下企业</w:t>
            </w:r>
          </w:p>
        </w:tc>
        <w:tc>
          <w:tcPr>
            <w:tcW w:w="7258" w:type="dxa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北京物美商业有限公司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北京超市发连锁股份有限公司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复兴门百盛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西单商场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爱琴海集团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北京荟聚（宜家集团）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7" w:type="dxa"/>
            <w:vMerge w:val="continue"/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永辉超市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restart"/>
            <w:vAlign w:val="center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线上企业</w:t>
            </w:r>
          </w:p>
        </w:tc>
        <w:tc>
          <w:tcPr>
            <w:tcW w:w="7258" w:type="dxa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北京盒马网络科技有限公司（盒马鲜生）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continue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阿里巴巴网络科技有限公司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continue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北京巨量引擎网络技术有限公司（抖音）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7" w:type="dxa"/>
            <w:vMerge w:val="continue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上海寻梦信息技术有限公司（拼多多）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continue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真快乐电子商务科技有限公司（国美电商）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continue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京东零售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7" w:type="dxa"/>
            <w:vMerge w:val="continue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58" w:type="dxa"/>
          </w:tcPr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快手</w:t>
            </w:r>
          </w:p>
        </w:tc>
      </w:tr>
    </w:tbl>
    <w:p>
      <w:pPr>
        <w:snapToGrid w:val="0"/>
        <w:spacing w:line="0" w:lineRule="atLeast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二、重点商贸企业营销活动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企业名称</w:t>
            </w:r>
          </w:p>
        </w:tc>
        <w:tc>
          <w:tcPr>
            <w:tcW w:w="7387" w:type="dxa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营销活动方案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阿里巴巴</w:t>
            </w:r>
          </w:p>
        </w:tc>
        <w:tc>
          <w:tcPr>
            <w:tcW w:w="7387" w:type="dxa"/>
          </w:tcPr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1.主打食品特色供给高性价比，实行第二件半价，517招商约10000+款商品，618招商约30000+款商品。</w:t>
            </w:r>
          </w:p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2.暂定5月11日召开517、618、报名招商讲解大会。</w:t>
            </w:r>
          </w:p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3.设置跨店满减优惠(每满200减20)，需包邮，不做价格管控，无价保要求。</w:t>
            </w:r>
          </w:p>
          <w:p>
            <w:pPr>
              <w:snapToGrid w:val="0"/>
              <w:spacing w:line="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4.天猫在B站发起吃货召集令，通过设置“吃货进化论”核心主题，吸引年轻食品消费群体。</w:t>
            </w:r>
          </w:p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5.招商类别分20万/50万两档，纯达人投放和内容植入，1:0.5曝光加投，同时联合种草平台资源投入。</w:t>
            </w:r>
          </w:p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6.设立食品重货城市仓，为入仓商家提供高性价比的物流配送服务和分仓方案，降低疫情影响，同时保障末端消费者体验。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京东</w:t>
            </w:r>
          </w:p>
        </w:tc>
        <w:tc>
          <w:tcPr>
            <w:tcW w:w="7387" w:type="dxa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1.线上：结合平台生态、营销中心试点，打造首个“吃货嘉 年华”主题活动，规则化选品覆盖率目标90%，通过满减券和折扣券，预计整体发券量7.5亿，促销池量sku级500w。</w:t>
            </w:r>
          </w:p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2.线下：联动全国线下七鲜，华冠、京东母婴生活馆、见福等2000+家门店打造全渠道“吃货节”氛围营造，实现线上线下吃货节一体化传播造势，强化全域营销能力、影响力。</w:t>
            </w:r>
          </w:p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3.阶梯质保金减免。食品饮料类目保证金由5万降至2万，生鲜果蔬类目保证金由2万降至5000元，肉禽海产类目由5万降至2万。</w:t>
            </w:r>
          </w:p>
          <w:p>
            <w:pPr>
              <w:snapToGrid w:val="0"/>
              <w:spacing w:line="0" w:lineRule="atLeast"/>
              <w:jc w:val="left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.平台使用费和佣金减免、新店试用期权益。入驻新商家前三个月平台使用费100%返还至京准通账户，3000元可用于营销资源购买。新商家店铺参与京东黄埔项目，最高8500元广告费奖励打造产业带。商品破损险试用期权益，退换货运费险试用期权益，释放资金压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8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巨量引擎</w:t>
            </w:r>
          </w:p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（抖音）</w:t>
            </w:r>
          </w:p>
        </w:tc>
        <w:tc>
          <w:tcPr>
            <w:tcW w:w="7387" w:type="dxa"/>
          </w:tcPr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线上：对入驻抖音的食品商家，借助平台大流量、零入驻费、零提点优势，通过达人探店、内容加热、竞价复投等商业化流量加持，扩大生意规模，实现品牌力打造。通过内容加热实现巨量星图的爆款率提高10-20%。引导全民瓜分现金流量、全民拍摄视频、全民互动裂变完成全民任务/挑战赛，引爆“吃货节”网络热门话题。</w:t>
            </w:r>
          </w:p>
          <w:p>
            <w:pPr>
              <w:snapToGrid w:val="0"/>
              <w:spacing w:line="0" w:lineRule="atLeast"/>
              <w:rPr>
                <w:rFonts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线下：商家通过平台上架套餐商品，采用短视频或直播展示品牌/套餐商品，用户从种草到购买抖音端内下单优惠券，完成线下核销转化。综合巨量星图达人种草、内容加热推广、效果广告复投三大专属手段，实现达人探店“一鱼三吃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快手</w:t>
            </w:r>
          </w:p>
        </w:tc>
        <w:tc>
          <w:tcPr>
            <w:tcW w:w="7387" w:type="dxa"/>
          </w:tcPr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1.开设“吃货节”话题专区，上线精准搜索优化功能，集纳全部相关视频、海报、直播等优质的强相关内容。便于用户一步到位，浏览整体宣传活动。</w:t>
            </w:r>
          </w:p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2.推出“517吃货节”热榜，将吃货节活动主宣传片，在话题、H5主页面进行置顶推荐，营造全民齐参与、全民同关注的热闹氛围。</w:t>
            </w:r>
          </w:p>
          <w:p>
            <w:pPr>
              <w:snapToGrid w:val="0"/>
              <w:spacing w:line="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3.调动包括@快手正能量（2000万+粉丝）等快手官方账号矩阵，发布、转发重点宣传内容，并挖掘快手平台上各个领域的达人参与宣传活动，利用私域流量再次助力宣发。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麦德龙/多点</w:t>
            </w:r>
          </w:p>
        </w:tc>
        <w:tc>
          <w:tcPr>
            <w:tcW w:w="7387" w:type="dxa"/>
          </w:tcPr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1.麦德龙北京四季青店开业活动： 5月15日和5月17日开展店内试吃、品牌方现场路演等活动。</w:t>
            </w:r>
          </w:p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2.全国门店活动：设置你来消费我报路费（购物满800赠送100元优惠券）品类日优惠券、店内促销（直降/买一送一/第二件半价）、午节H5 APP 游戏、会员部礼包-粽子满减优惠券、APP春季酒节活动、APP直播、店内试吃等促销费活动。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国美</w:t>
            </w:r>
          </w:p>
        </w:tc>
        <w:tc>
          <w:tcPr>
            <w:tcW w:w="7387" w:type="dxa"/>
          </w:tcPr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结合国美现有遍布全国的门店面向生活的场地场景，依据吃货节理念，打造购物氛围。同时带动众多合作伙伴及周边关联企业一起参与，今后逐步实现“吃货节”活动常态化，帮助更多企业增加全国线下曝光渠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80" w:type="dxa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合肥百大集团</w:t>
            </w:r>
          </w:p>
        </w:tc>
        <w:tc>
          <w:tcPr>
            <w:tcW w:w="7387" w:type="dxa"/>
          </w:tcPr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1.5月12-18号期间，百大集团旗下合家福超市将以“吾爱中国”为主题，开展“吃货节”促销活动，主要展示并售卖各个地域的小吃名产，例如：柳州螺蛳粉，武汉热干面，北京北冰洋，符离集烧鸡，北京烤鸭，西湖藕粉，安徽臭鳜鱼重庆酸辣粉等全国各地特色风味小吃，以及一些基础食品的促销。</w:t>
            </w:r>
          </w:p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2.5月19-5月22日期间，合家福超市将合并吾爱购物季超级会员节开展大力度促销，发放52元券包，包含100-25元超市券。</w:t>
            </w:r>
          </w:p>
          <w:p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3.5月19日将开展啤酒龙虾节，大力促销啤酒，即食商品，龙虾商品，调味品等品类产品，另还有爆品促销，百余品牌及品类促销力度将低至4.9折起。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ZWUzMTI3NTgzZWYzNDAzNTQ0ZmEzNGYyNTgzMjAifQ=="/>
  </w:docVars>
  <w:rsids>
    <w:rsidRoot w:val="52FF0348"/>
    <w:rsid w:val="52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2022-05-11T03:49:00Z</dcterms:created>
  <dc:creator>樟木三里巷</dc:creator>
  <cp:lastModifiedBy>樟木三里巷</cp:lastModifiedBy>
  <dcterms:modified xsi:type="dcterms:W3CDTF">2022-05-11T03:49:48Z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4A6FE3F7524A45F391AF098CC515447E</vt:lpwstr>
  </property>
</Properties>
</file>